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E5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附件1</w:t>
      </w:r>
    </w:p>
    <w:p w14:paraId="65142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jc w:val="center"/>
        <w:textAlignment w:val="auto"/>
        <w:rPr>
          <w:rFonts w:hint="eastAsia" w:eastAsia="仿宋_GB2312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县坪村镇人民政府1-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6月预算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绩效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监控表</w:t>
      </w:r>
    </w:p>
    <w:p w14:paraId="19656201">
      <w:pPr>
        <w:keepNext w:val="0"/>
        <w:keepLines w:val="0"/>
        <w:pageBreakBefore w:val="0"/>
        <w:widowControl w:val="0"/>
        <w:tabs>
          <w:tab w:val="left" w:pos="3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360" w:lineRule="exact"/>
        <w:ind w:right="23" w:firstLine="210" w:firstLineChars="100"/>
        <w:jc w:val="left"/>
        <w:textAlignment w:val="auto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hint="eastAsia" w:eastAsia="仿宋_GB2312"/>
          <w:szCs w:val="36"/>
        </w:rPr>
        <w:t>会同县坪村镇</w:t>
      </w:r>
      <w:r>
        <w:rPr>
          <w:rFonts w:hint="eastAsia" w:eastAsia="仿宋_GB2312"/>
          <w:szCs w:val="36"/>
          <w:lang w:eastAsia="zh-CN"/>
        </w:rPr>
        <w:t>人民政府</w:t>
      </w:r>
      <w:r>
        <w:rPr>
          <w:rFonts w:eastAsia="仿宋_GB2312"/>
          <w:szCs w:val="36"/>
        </w:rPr>
        <w:t xml:space="preserve">     </w:t>
      </w:r>
      <w:bookmarkStart w:id="0" w:name="_GoBack"/>
      <w:bookmarkEnd w:id="0"/>
      <w:r>
        <w:rPr>
          <w:rFonts w:eastAsia="仿宋_GB2312"/>
          <w:szCs w:val="36"/>
        </w:rPr>
        <w:t xml:space="preserve"> </w:t>
      </w:r>
      <w:r>
        <w:rPr>
          <w:rFonts w:hint="eastAsia" w:eastAsia="仿宋_GB2312"/>
          <w:szCs w:val="36"/>
        </w:rPr>
        <w:t xml:space="preserve">  </w:t>
      </w:r>
      <w:r>
        <w:rPr>
          <w:rFonts w:eastAsia="仿宋_GB2312"/>
          <w:szCs w:val="36"/>
        </w:rPr>
        <w:t>填报人及联系电话：</w:t>
      </w:r>
      <w:r>
        <w:rPr>
          <w:rFonts w:hint="eastAsia" w:eastAsia="仿宋_GB2312"/>
          <w:szCs w:val="36"/>
          <w:lang w:val="en-US" w:eastAsia="zh-CN"/>
        </w:rPr>
        <w:t>15115280118</w:t>
      </w:r>
      <w:r>
        <w:rPr>
          <w:rFonts w:eastAsia="仿宋_GB2312"/>
          <w:szCs w:val="36"/>
        </w:rPr>
        <w:t xml:space="preserve">        </w:t>
      </w:r>
      <w:r>
        <w:rPr>
          <w:rFonts w:hint="eastAsia" w:eastAsia="仿宋_GB2312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hint="eastAsia" w:eastAsia="仿宋_GB2312"/>
          <w:szCs w:val="36"/>
        </w:rPr>
        <w:t xml:space="preserve">   </w:t>
      </w:r>
      <w:r>
        <w:rPr>
          <w:rFonts w:eastAsia="仿宋_GB2312"/>
          <w:szCs w:val="36"/>
        </w:rPr>
        <w:t xml:space="preserve"> 填报日期：</w:t>
      </w:r>
      <w:r>
        <w:rPr>
          <w:rFonts w:hint="eastAsia" w:eastAsia="仿宋_GB2312"/>
          <w:szCs w:val="36"/>
          <w:lang w:val="en-US" w:eastAsia="zh-CN"/>
        </w:rPr>
        <w:t>2024</w:t>
      </w:r>
      <w:r>
        <w:rPr>
          <w:rFonts w:eastAsia="仿宋_GB2312"/>
          <w:szCs w:val="36"/>
        </w:rPr>
        <w:t xml:space="preserve"> 年</w:t>
      </w:r>
      <w:r>
        <w:rPr>
          <w:rFonts w:hint="eastAsia" w:eastAsia="仿宋_GB2312"/>
          <w:szCs w:val="36"/>
          <w:lang w:val="en-US" w:eastAsia="zh-CN"/>
        </w:rPr>
        <w:t>8</w:t>
      </w:r>
      <w:r>
        <w:rPr>
          <w:rFonts w:eastAsia="仿宋_GB2312"/>
          <w:szCs w:val="36"/>
        </w:rPr>
        <w:t>月</w:t>
      </w:r>
      <w:r>
        <w:rPr>
          <w:rFonts w:hint="eastAsia" w:eastAsia="仿宋_GB2312"/>
          <w:szCs w:val="36"/>
          <w:lang w:val="en-US" w:eastAsia="zh-CN"/>
        </w:rPr>
        <w:t>28</w:t>
      </w:r>
      <w:r>
        <w:rPr>
          <w:rFonts w:hint="eastAsia" w:eastAsia="仿宋_GB2312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Style w:val="5"/>
        <w:tblW w:w="1555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"/>
        <w:gridCol w:w="599"/>
        <w:gridCol w:w="854"/>
        <w:gridCol w:w="1238"/>
        <w:gridCol w:w="2021"/>
        <w:gridCol w:w="752"/>
        <w:gridCol w:w="1001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738"/>
        <w:gridCol w:w="700"/>
        <w:gridCol w:w="1088"/>
        <w:gridCol w:w="625"/>
      </w:tblGrid>
      <w:tr w14:paraId="447C8D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noWrap w:val="0"/>
            <w:vAlign w:val="center"/>
          </w:tcPr>
          <w:p w14:paraId="6C3AACD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4281C25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人居环境整治项目</w:t>
            </w:r>
          </w:p>
        </w:tc>
      </w:tr>
      <w:tr w14:paraId="7DA4A0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noWrap w:val="0"/>
            <w:vAlign w:val="center"/>
          </w:tcPr>
          <w:p w14:paraId="6855046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273AC09E">
            <w:pPr>
              <w:pStyle w:val="7"/>
              <w:spacing w:line="240" w:lineRule="exact"/>
              <w:ind w:firstLine="200" w:firstLineChars="10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793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301DED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2870F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restart"/>
            <w:noWrap w:val="0"/>
            <w:vAlign w:val="center"/>
          </w:tcPr>
          <w:p w14:paraId="71B027C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项目资金</w:t>
            </w:r>
          </w:p>
          <w:p w14:paraId="54EE627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2"/>
            <w:noWrap w:val="0"/>
            <w:vAlign w:val="center"/>
          </w:tcPr>
          <w:p w14:paraId="2EAD96F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 w14:paraId="1F6819D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3850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B2294">
            <w:pPr>
              <w:spacing w:line="240" w:lineRule="exact"/>
              <w:ind w:firstLine="630" w:firstLineChars="3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hint="eastAsia" w:eastAsia="仿宋_GB2312"/>
                <w:lang w:val="en-US" w:eastAsia="zh-CN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A93BB7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noWrap w:val="0"/>
            <w:vAlign w:val="center"/>
          </w:tcPr>
          <w:p w14:paraId="7904BE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全年预计执行数</w:t>
            </w:r>
          </w:p>
        </w:tc>
      </w:tr>
      <w:tr w14:paraId="6B926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40F1CF6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noWrap w:val="0"/>
            <w:vAlign w:val="center"/>
          </w:tcPr>
          <w:p w14:paraId="0BC0439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3B6766A2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9.5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B09E48E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9.5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A8C86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9.49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9D840D6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99.98%</w:t>
            </w:r>
          </w:p>
        </w:tc>
        <w:tc>
          <w:tcPr>
            <w:tcW w:w="1713" w:type="dxa"/>
            <w:gridSpan w:val="2"/>
            <w:noWrap w:val="0"/>
            <w:vAlign w:val="center"/>
          </w:tcPr>
          <w:p w14:paraId="52810928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9.5</w:t>
            </w:r>
          </w:p>
        </w:tc>
      </w:tr>
      <w:tr w14:paraId="1C37AB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43415CA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noWrap w:val="0"/>
            <w:vAlign w:val="center"/>
          </w:tcPr>
          <w:p w14:paraId="5C6FD3D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08FC8F34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9.5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2663B6C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9.5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32B4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9.49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AD676C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99.98%</w:t>
            </w:r>
          </w:p>
        </w:tc>
        <w:tc>
          <w:tcPr>
            <w:tcW w:w="1713" w:type="dxa"/>
            <w:gridSpan w:val="2"/>
            <w:noWrap w:val="0"/>
            <w:vAlign w:val="center"/>
          </w:tcPr>
          <w:p w14:paraId="32DB56E7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9.5</w:t>
            </w:r>
          </w:p>
        </w:tc>
      </w:tr>
      <w:tr w14:paraId="692B66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41C8334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noWrap w:val="0"/>
            <w:vAlign w:val="center"/>
          </w:tcPr>
          <w:p w14:paraId="3F71418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3ECD070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6579F5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D162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577E8D3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noWrap w:val="0"/>
            <w:vAlign w:val="center"/>
          </w:tcPr>
          <w:p w14:paraId="4092F56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6FB01E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2D0071A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16"/>
            <w:tcBorders>
              <w:left w:val="single" w:color="auto" w:sz="4" w:space="0"/>
            </w:tcBorders>
            <w:noWrap w:val="0"/>
            <w:vAlign w:val="center"/>
          </w:tcPr>
          <w:p w14:paraId="418DFD0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11120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restart"/>
            <w:noWrap w:val="0"/>
            <w:vAlign w:val="center"/>
          </w:tcPr>
          <w:p w14:paraId="3A0FFEF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 w14:paraId="29C36FA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vMerge w:val="restart"/>
            <w:noWrap w:val="0"/>
            <w:vAlign w:val="center"/>
          </w:tcPr>
          <w:p w14:paraId="0391E4B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二级指标</w:t>
            </w:r>
          </w:p>
        </w:tc>
        <w:tc>
          <w:tcPr>
            <w:tcW w:w="2021" w:type="dxa"/>
            <w:vMerge w:val="restart"/>
            <w:noWrap w:val="0"/>
            <w:vAlign w:val="center"/>
          </w:tcPr>
          <w:p w14:paraId="259D815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三级指标</w:t>
            </w:r>
          </w:p>
        </w:tc>
        <w:tc>
          <w:tcPr>
            <w:tcW w:w="752" w:type="dxa"/>
            <w:vMerge w:val="restart"/>
            <w:noWrap w:val="0"/>
            <w:vAlign w:val="center"/>
          </w:tcPr>
          <w:p w14:paraId="7B6B247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noWrap w:val="0"/>
            <w:vAlign w:val="center"/>
          </w:tcPr>
          <w:p w14:paraId="4DD9A43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 w14:paraId="02F5E8B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</w:t>
            </w:r>
          </w:p>
          <w:p w14:paraId="2AD010C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noWrap w:val="0"/>
            <w:vAlign w:val="center"/>
          </w:tcPr>
          <w:p w14:paraId="6EC87D1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noWrap w:val="0"/>
            <w:vAlign w:val="center"/>
          </w:tcPr>
          <w:p w14:paraId="7A70958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noWrap w:val="0"/>
            <w:vAlign w:val="center"/>
          </w:tcPr>
          <w:p w14:paraId="0F56A4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备注</w:t>
            </w:r>
          </w:p>
        </w:tc>
      </w:tr>
      <w:tr w14:paraId="065FC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08A98FB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6EFE3BDD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Merge w:val="continue"/>
            <w:tcBorders>
              <w:top w:val="nil"/>
            </w:tcBorders>
            <w:noWrap w:val="0"/>
            <w:vAlign w:val="center"/>
          </w:tcPr>
          <w:p w14:paraId="1BFDCB1E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021" w:type="dxa"/>
            <w:vMerge w:val="continue"/>
            <w:tcBorders>
              <w:top w:val="nil"/>
            </w:tcBorders>
            <w:noWrap w:val="0"/>
            <w:vAlign w:val="center"/>
          </w:tcPr>
          <w:p w14:paraId="1517D8D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752" w:type="dxa"/>
            <w:vMerge w:val="continue"/>
            <w:tcBorders>
              <w:top w:val="nil"/>
            </w:tcBorders>
            <w:noWrap w:val="0"/>
            <w:vAlign w:val="center"/>
          </w:tcPr>
          <w:p w14:paraId="1E15F45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 w:val="continue"/>
            <w:tcBorders>
              <w:top w:val="nil"/>
            </w:tcBorders>
            <w:noWrap w:val="0"/>
            <w:vAlign w:val="center"/>
          </w:tcPr>
          <w:p w14:paraId="13EA7D1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 w:val="continue"/>
            <w:tcBorders>
              <w:top w:val="nil"/>
            </w:tcBorders>
            <w:noWrap w:val="0"/>
            <w:vAlign w:val="center"/>
          </w:tcPr>
          <w:p w14:paraId="5079089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noWrap w:val="0"/>
            <w:vAlign w:val="center"/>
          </w:tcPr>
          <w:p w14:paraId="4E4844F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 w14:paraId="70D258E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noWrap w:val="0"/>
            <w:vAlign w:val="center"/>
          </w:tcPr>
          <w:p w14:paraId="6834BBC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noWrap w:val="0"/>
            <w:vAlign w:val="center"/>
          </w:tcPr>
          <w:p w14:paraId="13DF4CF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noWrap w:val="0"/>
            <w:vAlign w:val="center"/>
          </w:tcPr>
          <w:p w14:paraId="7ECA070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 w14:paraId="712D67E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noWrap w:val="0"/>
            <w:vAlign w:val="center"/>
          </w:tcPr>
          <w:p w14:paraId="5416A3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noWrap w:val="0"/>
            <w:vAlign w:val="center"/>
          </w:tcPr>
          <w:p w14:paraId="6A239E9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noWrap w:val="0"/>
            <w:vAlign w:val="center"/>
          </w:tcPr>
          <w:p w14:paraId="2CFBC981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 w:val="continue"/>
            <w:tcBorders>
              <w:top w:val="nil"/>
            </w:tcBorders>
            <w:noWrap w:val="0"/>
            <w:vAlign w:val="center"/>
          </w:tcPr>
          <w:p w14:paraId="6B2D700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40250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0E7BC3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noWrap w:val="0"/>
            <w:vAlign w:val="center"/>
          </w:tcPr>
          <w:p w14:paraId="48C4BBBD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tcBorders>
              <w:top w:val="nil"/>
            </w:tcBorders>
            <w:noWrap w:val="0"/>
            <w:vAlign w:val="center"/>
          </w:tcPr>
          <w:p w14:paraId="66D0E0EB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2021" w:type="dxa"/>
            <w:tcBorders>
              <w:top w:val="nil"/>
            </w:tcBorders>
            <w:noWrap w:val="0"/>
            <w:vAlign w:val="center"/>
          </w:tcPr>
          <w:p w14:paraId="2550DA8E">
            <w:pPr>
              <w:spacing w:line="240" w:lineRule="exact"/>
              <w:jc w:val="center"/>
              <w:rPr>
                <w:rFonts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</w:rPr>
              <w:t>项目成本</w:t>
            </w:r>
          </w:p>
        </w:tc>
        <w:tc>
          <w:tcPr>
            <w:tcW w:w="752" w:type="dxa"/>
            <w:tcBorders>
              <w:top w:val="nil"/>
            </w:tcBorders>
            <w:noWrap w:val="0"/>
            <w:vAlign w:val="center"/>
          </w:tcPr>
          <w:p w14:paraId="327915BA">
            <w:pPr>
              <w:spacing w:line="240" w:lineRule="exact"/>
              <w:jc w:val="center"/>
              <w:rPr>
                <w:rFonts w:hint="default"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9.5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3B1FBA1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1FAA5D92">
            <w:pPr>
              <w:spacing w:line="240" w:lineRule="exact"/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9.5</w:t>
            </w:r>
          </w:p>
        </w:tc>
        <w:tc>
          <w:tcPr>
            <w:tcW w:w="912" w:type="dxa"/>
            <w:noWrap w:val="0"/>
            <w:vAlign w:val="center"/>
          </w:tcPr>
          <w:p w14:paraId="4A90CCD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37CC1B9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AAE8AE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6958062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17C2B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CBE638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C6F02C1"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7B7084D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00E00038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noWrap w:val="0"/>
            <w:vAlign w:val="center"/>
          </w:tcPr>
          <w:p w14:paraId="221A6D6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37D700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B88D06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345960B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noWrap w:val="0"/>
            <w:vAlign w:val="center"/>
          </w:tcPr>
          <w:p w14:paraId="22BC3BAF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2021" w:type="dxa"/>
            <w:tcBorders>
              <w:top w:val="nil"/>
            </w:tcBorders>
            <w:noWrap w:val="0"/>
            <w:vAlign w:val="center"/>
          </w:tcPr>
          <w:p w14:paraId="2730016B">
            <w:pPr>
              <w:spacing w:line="240" w:lineRule="exact"/>
              <w:jc w:val="center"/>
              <w:rPr>
                <w:rFonts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</w:rPr>
              <w:t>社会成本节约率</w:t>
            </w:r>
          </w:p>
        </w:tc>
        <w:tc>
          <w:tcPr>
            <w:tcW w:w="752" w:type="dxa"/>
            <w:tcBorders>
              <w:top w:val="nil"/>
            </w:tcBorders>
            <w:noWrap w:val="0"/>
            <w:vAlign w:val="center"/>
          </w:tcPr>
          <w:p w14:paraId="3966B060">
            <w:pPr>
              <w:spacing w:line="240" w:lineRule="exact"/>
              <w:jc w:val="center"/>
              <w:rPr>
                <w:rFonts w:hint="eastAsia"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2612E046">
            <w:pPr>
              <w:spacing w:line="240" w:lineRule="exact"/>
              <w:jc w:val="center"/>
              <w:rPr>
                <w:rFonts w:hint="eastAsia"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22049067">
            <w:pPr>
              <w:spacing w:line="240" w:lineRule="exact"/>
              <w:ind w:left="1" w:leftChars="0"/>
              <w:jc w:val="center"/>
              <w:rPr>
                <w:rFonts w:hint="eastAsia"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noWrap w:val="0"/>
            <w:vAlign w:val="center"/>
          </w:tcPr>
          <w:p w14:paraId="3777D8A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23CFB80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F16B48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C7EB88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F5BADA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44CB965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65FBDD6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344DDEF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55290132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noWrap w:val="0"/>
            <w:vAlign w:val="center"/>
          </w:tcPr>
          <w:p w14:paraId="08FCED3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6D821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0D61A15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74101207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noWrap w:val="0"/>
            <w:vAlign w:val="center"/>
          </w:tcPr>
          <w:p w14:paraId="3C2732BB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2021" w:type="dxa"/>
            <w:tcBorders>
              <w:top w:val="nil"/>
            </w:tcBorders>
            <w:noWrap w:val="0"/>
            <w:vAlign w:val="center"/>
          </w:tcPr>
          <w:p w14:paraId="4E8CA7E9">
            <w:pPr>
              <w:spacing w:line="240" w:lineRule="exact"/>
              <w:jc w:val="center"/>
              <w:rPr>
                <w:rFonts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</w:rPr>
              <w:t>生态环境成本节约率</w:t>
            </w:r>
          </w:p>
        </w:tc>
        <w:tc>
          <w:tcPr>
            <w:tcW w:w="752" w:type="dxa"/>
            <w:tcBorders>
              <w:top w:val="nil"/>
            </w:tcBorders>
            <w:noWrap w:val="0"/>
            <w:vAlign w:val="center"/>
          </w:tcPr>
          <w:p w14:paraId="6B421A91">
            <w:pPr>
              <w:spacing w:line="240" w:lineRule="exact"/>
              <w:jc w:val="center"/>
              <w:rPr>
                <w:rFonts w:hint="eastAsia"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7A4FF3D9">
            <w:pPr>
              <w:spacing w:line="240" w:lineRule="exact"/>
              <w:jc w:val="center"/>
              <w:rPr>
                <w:rFonts w:hint="eastAsia"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306FF103">
            <w:pPr>
              <w:spacing w:line="240" w:lineRule="exact"/>
              <w:ind w:left="1" w:leftChars="0"/>
              <w:jc w:val="center"/>
              <w:rPr>
                <w:rFonts w:hint="eastAsia" w:eastAsia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noWrap w:val="0"/>
            <w:vAlign w:val="center"/>
          </w:tcPr>
          <w:p w14:paraId="2305F18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59F2D3D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C04A33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144155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D979F6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6DBEBB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5EF8956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6290137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314D2A3D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noWrap w:val="0"/>
            <w:vAlign w:val="center"/>
          </w:tcPr>
          <w:p w14:paraId="0987433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5A1517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6048C86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07341FA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noWrap w:val="0"/>
            <w:vAlign w:val="center"/>
          </w:tcPr>
          <w:p w14:paraId="4B0D041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数量指标</w:t>
            </w:r>
          </w:p>
        </w:tc>
        <w:tc>
          <w:tcPr>
            <w:tcW w:w="2021" w:type="dxa"/>
            <w:noWrap w:val="0"/>
            <w:vAlign w:val="center"/>
          </w:tcPr>
          <w:p w14:paraId="66DFA205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改善涉及村（居）数量</w:t>
            </w:r>
          </w:p>
        </w:tc>
        <w:tc>
          <w:tcPr>
            <w:tcW w:w="752" w:type="dxa"/>
            <w:noWrap w:val="0"/>
            <w:vAlign w:val="center"/>
          </w:tcPr>
          <w:p w14:paraId="3BD1D914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01" w:type="dxa"/>
            <w:noWrap w:val="0"/>
            <w:vAlign w:val="center"/>
          </w:tcPr>
          <w:p w14:paraId="023DA31A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88" w:type="dxa"/>
            <w:noWrap w:val="0"/>
            <w:vAlign w:val="center"/>
          </w:tcPr>
          <w:p w14:paraId="3C8F03E4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912" w:type="dxa"/>
            <w:noWrap w:val="0"/>
            <w:vAlign w:val="center"/>
          </w:tcPr>
          <w:p w14:paraId="363A6D4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E4AFF8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35A3FF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19FB0FB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4BE538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2C548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D8A0F48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74D017C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7AF0F7B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 w14:paraId="60A20E1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47B04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F2AF1F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1B74533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5981E49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质量指标</w:t>
            </w:r>
          </w:p>
        </w:tc>
        <w:tc>
          <w:tcPr>
            <w:tcW w:w="2021" w:type="dxa"/>
            <w:noWrap w:val="0"/>
            <w:vAlign w:val="center"/>
          </w:tcPr>
          <w:p w14:paraId="5EFD908E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项目绩效目标达成率</w:t>
            </w:r>
          </w:p>
        </w:tc>
        <w:tc>
          <w:tcPr>
            <w:tcW w:w="752" w:type="dxa"/>
            <w:noWrap w:val="0"/>
            <w:vAlign w:val="center"/>
          </w:tcPr>
          <w:p w14:paraId="7F5FE844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01" w:type="dxa"/>
            <w:noWrap w:val="0"/>
            <w:vAlign w:val="center"/>
          </w:tcPr>
          <w:p w14:paraId="03FE05DD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088" w:type="dxa"/>
            <w:noWrap w:val="0"/>
            <w:vAlign w:val="center"/>
          </w:tcPr>
          <w:p w14:paraId="0B29718C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12" w:type="dxa"/>
            <w:noWrap w:val="0"/>
            <w:vAlign w:val="center"/>
          </w:tcPr>
          <w:p w14:paraId="639D77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2514480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E22153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39DDB93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3763D9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531E42E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6862C67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5EBA721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657C05B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 w14:paraId="408FFE2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1BEF69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0458B95A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5F3F102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09D492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时效指标</w:t>
            </w:r>
          </w:p>
        </w:tc>
        <w:tc>
          <w:tcPr>
            <w:tcW w:w="2021" w:type="dxa"/>
            <w:noWrap w:val="0"/>
            <w:vAlign w:val="center"/>
          </w:tcPr>
          <w:p w14:paraId="6626A4B6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完成及时率</w:t>
            </w:r>
          </w:p>
        </w:tc>
        <w:tc>
          <w:tcPr>
            <w:tcW w:w="752" w:type="dxa"/>
            <w:noWrap w:val="0"/>
            <w:vAlign w:val="center"/>
          </w:tcPr>
          <w:p w14:paraId="06E49BA1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01" w:type="dxa"/>
            <w:noWrap w:val="0"/>
            <w:vAlign w:val="center"/>
          </w:tcPr>
          <w:p w14:paraId="6EB05F22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088" w:type="dxa"/>
            <w:noWrap w:val="0"/>
            <w:vAlign w:val="center"/>
          </w:tcPr>
          <w:p w14:paraId="1A5B9249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12" w:type="dxa"/>
            <w:noWrap w:val="0"/>
            <w:vAlign w:val="center"/>
          </w:tcPr>
          <w:p w14:paraId="6D10E2B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5EE3243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51C96F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DED684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5B0AAE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2FF271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C246CDB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73E01FD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1CB6C64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 w14:paraId="30BE567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02961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C9D2DC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04F2F92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noWrap w:val="0"/>
            <w:vAlign w:val="center"/>
          </w:tcPr>
          <w:p w14:paraId="132B8B2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经济效益指标</w:t>
            </w:r>
          </w:p>
        </w:tc>
        <w:tc>
          <w:tcPr>
            <w:tcW w:w="2021" w:type="dxa"/>
            <w:noWrap w:val="0"/>
            <w:vAlign w:val="center"/>
          </w:tcPr>
          <w:p w14:paraId="48FB8948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充分发挥专项资金效益</w:t>
            </w:r>
          </w:p>
        </w:tc>
        <w:tc>
          <w:tcPr>
            <w:tcW w:w="752" w:type="dxa"/>
            <w:noWrap w:val="0"/>
            <w:vAlign w:val="center"/>
          </w:tcPr>
          <w:p w14:paraId="318F3FAA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43D4EA79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noWrap w:val="0"/>
            <w:vAlign w:val="center"/>
          </w:tcPr>
          <w:p w14:paraId="7C063D21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32AD706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111813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94CFB3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A06DDE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6B4C39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34E7F7E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3854C98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4632DE3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160928B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 w14:paraId="23AF8AF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A6852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2F552FE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3CD3D9C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58FE93C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</w:p>
        </w:tc>
        <w:tc>
          <w:tcPr>
            <w:tcW w:w="2021" w:type="dxa"/>
            <w:noWrap w:val="0"/>
            <w:vAlign w:val="center"/>
          </w:tcPr>
          <w:p w14:paraId="2006F54A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不断改善农村人居环境，建设生态宜居村落</w:t>
            </w:r>
          </w:p>
        </w:tc>
        <w:tc>
          <w:tcPr>
            <w:tcW w:w="752" w:type="dxa"/>
            <w:noWrap w:val="0"/>
            <w:vAlign w:val="center"/>
          </w:tcPr>
          <w:p w14:paraId="50D077BA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39B4FDEA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noWrap w:val="0"/>
            <w:vAlign w:val="center"/>
          </w:tcPr>
          <w:p w14:paraId="25BCA8EE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1008E0C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6C7FC9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98C8E7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824A1A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17DE6D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1DB0C2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5A062E5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281CA36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269496E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 w14:paraId="61F9C8E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4C51C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1C802EC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4537187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3E5364A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生态效益指标</w:t>
            </w:r>
          </w:p>
        </w:tc>
        <w:tc>
          <w:tcPr>
            <w:tcW w:w="2021" w:type="dxa"/>
            <w:noWrap w:val="0"/>
            <w:vAlign w:val="center"/>
          </w:tcPr>
          <w:p w14:paraId="155818CF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生态效益情况</w:t>
            </w:r>
          </w:p>
        </w:tc>
        <w:tc>
          <w:tcPr>
            <w:tcW w:w="752" w:type="dxa"/>
            <w:noWrap w:val="0"/>
            <w:vAlign w:val="center"/>
          </w:tcPr>
          <w:p w14:paraId="6ACBE3D6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19C7DD1F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noWrap w:val="0"/>
            <w:vAlign w:val="center"/>
          </w:tcPr>
          <w:p w14:paraId="2E0C9260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04A56E3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D29745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26E941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4BBA7A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1409DC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FFF917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7F66E99C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55459E0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1FB2D09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 w14:paraId="2655873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66FCC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3D887A1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noWrap w:val="0"/>
            <w:vAlign w:val="center"/>
          </w:tcPr>
          <w:p w14:paraId="610AAB9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满意度</w:t>
            </w:r>
          </w:p>
          <w:p w14:paraId="4CDB865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noWrap w:val="0"/>
            <w:vAlign w:val="center"/>
          </w:tcPr>
          <w:p w14:paraId="0F9CB018">
            <w:pPr>
              <w:pStyle w:val="7"/>
              <w:spacing w:line="240" w:lineRule="exact"/>
              <w:ind w:firstLine="72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2021" w:type="dxa"/>
            <w:noWrap w:val="0"/>
            <w:vAlign w:val="center"/>
          </w:tcPr>
          <w:p w14:paraId="6748E23A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群众满意度</w:t>
            </w:r>
          </w:p>
        </w:tc>
        <w:tc>
          <w:tcPr>
            <w:tcW w:w="752" w:type="dxa"/>
            <w:noWrap w:val="0"/>
            <w:vAlign w:val="center"/>
          </w:tcPr>
          <w:p w14:paraId="6701C00A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001" w:type="dxa"/>
            <w:noWrap w:val="0"/>
            <w:vAlign w:val="center"/>
          </w:tcPr>
          <w:p w14:paraId="4264B859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088" w:type="dxa"/>
            <w:noWrap w:val="0"/>
            <w:vAlign w:val="center"/>
          </w:tcPr>
          <w:p w14:paraId="04DB744E"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912" w:type="dxa"/>
            <w:noWrap w:val="0"/>
            <w:vAlign w:val="center"/>
          </w:tcPr>
          <w:p w14:paraId="16F5D26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1FB50E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39D4CA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BB6CDC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089611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655E7E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A3342B7"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 w14:paraId="6AB40F5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0C77444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 w14:paraId="752A540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</w:tbl>
    <w:p w14:paraId="6880E311">
      <w:pPr>
        <w:pStyle w:val="2"/>
        <w:spacing w:before="9"/>
        <w:ind w:firstLine="210" w:firstLineChars="100"/>
        <w:rPr>
          <w:rFonts w:ascii="Times New Roman" w:hAnsi="Times New Roman" w:eastAsia="仿宋_GB2312"/>
          <w:sz w:val="21"/>
          <w:szCs w:val="21"/>
        </w:rPr>
      </w:pPr>
      <w:r>
        <w:rPr>
          <w:rFonts w:ascii="Times New Roman" w:hAnsi="Times New Roman" w:eastAsia="仿宋_GB2312"/>
          <w:sz w:val="21"/>
          <w:szCs w:val="21"/>
        </w:rPr>
        <w:t>注：1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“备注”列：可以说明预计到年底不能完成目标的原因及拟采取的措施，或其他需要说明的事项；</w:t>
      </w:r>
    </w:p>
    <w:p w14:paraId="4ECEC855">
      <w:pPr>
        <w:pStyle w:val="2"/>
        <w:spacing w:before="9"/>
        <w:ind w:firstLine="630" w:firstLineChars="300"/>
        <w:rPr>
          <w:rFonts w:hint="eastAsia" w:ascii="Times New Roman" w:hAnsi="Times New Roman" w:eastAsia="仿宋_GB2312"/>
          <w:sz w:val="21"/>
          <w:szCs w:val="21"/>
          <w:lang w:eastAsia="zh-CN"/>
        </w:rPr>
        <w:sectPr>
          <w:pgSz w:w="16837" w:h="11905" w:orient="landscape"/>
          <w:pgMar w:top="1134" w:right="1134" w:bottom="1134" w:left="1134" w:header="720" w:footer="1134" w:gutter="0"/>
          <w:pgNumType w:fmt="numberInDash"/>
          <w:cols w:space="720" w:num="1"/>
          <w:docGrid w:linePitch="636" w:charSpace="20838"/>
        </w:sectPr>
      </w:pPr>
      <w:r>
        <w:rPr>
          <w:rFonts w:ascii="Times New Roman" w:hAnsi="Times New Roman" w:eastAsia="仿宋_GB2312"/>
          <w:sz w:val="21"/>
          <w:szCs w:val="21"/>
        </w:rPr>
        <w:t>2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政策和其他支出的预算绩效运行监控表参照此表设计</w:t>
      </w:r>
      <w:r>
        <w:rPr>
          <w:rFonts w:hint="eastAsia" w:ascii="Times New Roman" w:hAnsi="Times New Roman" w:eastAsia="仿宋_GB2312"/>
          <w:sz w:val="21"/>
          <w:szCs w:val="21"/>
          <w:lang w:eastAsia="zh-CN"/>
        </w:rPr>
        <w:t>。</w:t>
      </w:r>
    </w:p>
    <w:p w14:paraId="5A2E9E0D">
      <w:pPr>
        <w:spacing w:line="64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附件2</w:t>
      </w:r>
    </w:p>
    <w:p w14:paraId="73D212A3">
      <w:pPr>
        <w:spacing w:line="640" w:lineRule="exact"/>
        <w:rPr>
          <w:rFonts w:eastAsia="仿宋_GB2312"/>
          <w:sz w:val="32"/>
          <w:szCs w:val="32"/>
        </w:rPr>
      </w:pPr>
    </w:p>
    <w:p w14:paraId="4039A5A3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会同县坪村镇人民政府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月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支出绩效运行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监控报告</w:t>
      </w:r>
    </w:p>
    <w:p w14:paraId="760177A9">
      <w:pPr>
        <w:pStyle w:val="2"/>
      </w:pPr>
    </w:p>
    <w:p w14:paraId="3776EE26">
      <w:pPr>
        <w:numPr>
          <w:ilvl w:val="0"/>
          <w:numId w:val="1"/>
        </w:num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项目支出基本情况</w:t>
      </w:r>
    </w:p>
    <w:p w14:paraId="063AF5B5">
      <w:pPr>
        <w:pStyle w:val="2"/>
        <w:numPr>
          <w:ilvl w:val="0"/>
          <w:numId w:val="0"/>
        </w:numPr>
        <w:ind w:firstLine="640" w:firstLineChars="20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2024年本单位预算项目名称为人居环境整治项目，支出预算9.5万元，主要是坪村镇人民政府为提升村容村貌，改善坪村镇生产生活环境目标而发生的支出。</w:t>
      </w:r>
    </w:p>
    <w:p w14:paraId="16DA4BA6">
      <w:pPr>
        <w:numPr>
          <w:ilvl w:val="0"/>
          <w:numId w:val="1"/>
        </w:numPr>
        <w:spacing w:line="64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绩效运行监控工作开展情况</w:t>
      </w:r>
    </w:p>
    <w:p w14:paraId="0480E20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我单位绩效监控主要采取部门自行监控和单位重点监控两种方式。分管领导针对绩效监控工作精心组织、周密部署，把绩效监控工作列入重要议事日程，制定了具体措施，明确分工，将项目绩效运行跟踪监控工作责任落到实处。配合财政所及时反应监控中的有关问题，加强沟通、协调和联系，密切配合，共同促进了绩效监控工作规范、有序、顺利开展。</w:t>
      </w:r>
    </w:p>
    <w:p w14:paraId="7A529D59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 w14:paraId="70630A5C">
      <w:pPr>
        <w:tabs>
          <w:tab w:val="left" w:pos="1560"/>
        </w:tabs>
        <w:spacing w:line="640" w:lineRule="exact"/>
        <w:ind w:firstLine="548" w:firstLineChars="200"/>
        <w:rPr>
          <w:rFonts w:eastAsia="楷体_GB2312"/>
          <w:b w:val="0"/>
          <w:bCs w:val="0"/>
          <w:sz w:val="32"/>
          <w:szCs w:val="32"/>
        </w:rPr>
      </w:pPr>
      <w:r>
        <w:rPr>
          <w:rFonts w:eastAsia="楷体_GB2312"/>
          <w:b w:val="0"/>
          <w:bCs w:val="0"/>
          <w:spacing w:val="-23"/>
          <w:sz w:val="32"/>
          <w:szCs w:val="32"/>
        </w:rPr>
        <w:t>（一）</w:t>
      </w:r>
      <w:r>
        <w:rPr>
          <w:rFonts w:eastAsia="楷体_GB2312"/>
          <w:b w:val="0"/>
          <w:bCs w:val="0"/>
          <w:sz w:val="32"/>
          <w:szCs w:val="32"/>
        </w:rPr>
        <w:t>项目支出预算执行情况</w:t>
      </w:r>
    </w:p>
    <w:p w14:paraId="71E025DD">
      <w:pPr>
        <w:pStyle w:val="2"/>
        <w:ind w:firstLine="640" w:firstLineChars="20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2024年本单位项目支出预算9.5万元，1-6月实际支出9.49万元，预算执行率为99.98%。</w:t>
      </w:r>
    </w:p>
    <w:p w14:paraId="74351C34">
      <w:pPr>
        <w:numPr>
          <w:ilvl w:val="0"/>
          <w:numId w:val="2"/>
        </w:numPr>
        <w:tabs>
          <w:tab w:val="left" w:pos="1560"/>
        </w:tabs>
        <w:spacing w:line="640" w:lineRule="exact"/>
        <w:ind w:firstLine="548" w:firstLineChars="200"/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</w:pPr>
      <w:r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  <w:t>项目支出绩效目标完成情况</w:t>
      </w:r>
    </w:p>
    <w:p w14:paraId="28E7B506">
      <w:pPr>
        <w:pStyle w:val="2"/>
        <w:numPr>
          <w:ilvl w:val="0"/>
          <w:numId w:val="0"/>
        </w:numPr>
        <w:ind w:firstLine="640" w:firstLineChars="20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截止6月底，通过支付人居环境整治垃圾清理费、清扫卫生人员工资、整治用品等，有效改善坪村镇生产生活环境，进而提升了我镇区域内群众的幸福感、和谐感和安全感。</w:t>
      </w:r>
    </w:p>
    <w:p w14:paraId="1393A603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 w14:paraId="07E06818">
      <w:pPr>
        <w:widowControl/>
        <w:spacing w:line="64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由于资金有限，人居环境整治不够深入，部分地区对人居环境整治标准不高，群众环保意识不足，缺乏参与人居环境整治的主动性和自觉性。</w:t>
      </w:r>
      <w:r>
        <w:rPr>
          <w:rFonts w:eastAsia="仿宋_GB2312"/>
          <w:sz w:val="32"/>
          <w:szCs w:val="32"/>
        </w:rPr>
        <w:t xml:space="preserve">  </w:t>
      </w:r>
    </w:p>
    <w:p w14:paraId="004B1079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 w14:paraId="5D910A6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严格执行预算和财政相关制度，合理编制支出预算。同时，在预算执行过程中定期将执行情况预算进行对比分析，及时发现偏差、查找原因，采取必要措施，保证预算整体目标的顺利完成。</w:t>
      </w:r>
    </w:p>
    <w:p w14:paraId="6CC5AF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FF6AC2"/>
    <w:multiLevelType w:val="singleLevel"/>
    <w:tmpl w:val="90FF6AC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BA4998F"/>
    <w:multiLevelType w:val="singleLevel"/>
    <w:tmpl w:val="9BA499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66D81F22"/>
    <w:rsid w:val="66D81F22"/>
    <w:rsid w:val="74E2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1132</Words>
  <Characters>1233</Characters>
  <Lines>0</Lines>
  <Paragraphs>0</Paragraphs>
  <TotalTime>5</TotalTime>
  <ScaleCrop>false</ScaleCrop>
  <LinksUpToDate>false</LinksUpToDate>
  <CharactersWithSpaces>1287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2024-08-28T12:13:00Z</dcterms:created>
  <dc:creator>Administrator</dc:creator>
  <cp:lastModifiedBy>Administrator</cp:lastModifiedBy>
  <cp:lastPrinted>2024-09-09T01:56:57Z</cp:lastPrinted>
  <dcterms:modified xsi:type="dcterms:W3CDTF">2024-09-09T01:58:23Z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AFC401EB8E9247FEBB2FCC96CC5905B7_12</vt:lpwstr>
  </property>
</Properties>
</file>